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55E9D" w14:textId="72684B6A" w:rsidR="00F76637" w:rsidRDefault="0040694B">
      <w:pPr>
        <w:pStyle w:val="Heading1"/>
      </w:pPr>
      <w:bookmarkStart w:id="0" w:name="background-paper-for-journalists"/>
      <w:r>
        <w:t xml:space="preserve">BACKGROUND PAPER </w:t>
      </w:r>
    </w:p>
    <w:p w14:paraId="441BABD0" w14:textId="77777777" w:rsidR="00F76637" w:rsidRDefault="0040694B">
      <w:pPr>
        <w:pStyle w:val="Heading2"/>
      </w:pPr>
      <w:bookmarkStart w:id="1" w:name="X8b19a348a74418f518c71c2e454ecd42a32a610"/>
      <w:r>
        <w:t>Folic acid in flour: a licensed medicine is about to enter every loaf in Britain</w:t>
      </w:r>
    </w:p>
    <w:p w14:paraId="749B3149" w14:textId="77777777" w:rsidR="00F76637" w:rsidRDefault="0040694B">
      <w:pPr>
        <w:pStyle w:val="Heading3"/>
      </w:pPr>
      <w:bookmarkStart w:id="2" w:name="the-story-in-brief"/>
      <w:r>
        <w:t>The story in brief</w:t>
      </w:r>
    </w:p>
    <w:p w14:paraId="00BEBEDA" w14:textId="66A5230A" w:rsidR="00F76637" w:rsidRDefault="0040694B">
      <w:pPr>
        <w:pStyle w:val="Compact"/>
        <w:numPr>
          <w:ilvl w:val="0"/>
          <w:numId w:val="2"/>
        </w:numPr>
      </w:pPr>
      <w:r>
        <w:t xml:space="preserve">From 13 December 2026 it is </w:t>
      </w:r>
      <w:hyperlink r:id="rId7">
        <w:r w:rsidR="00F76637">
          <w:rPr>
            <w:color w:val="0563C1"/>
            <w:u w:val="single"/>
          </w:rPr>
          <w:t>unlawful</w:t>
        </w:r>
      </w:hyperlink>
      <w:r>
        <w:t xml:space="preserve"> to sell white flour in Britain without a licensed medicine in it. The requirement covers virtually all non-wholemeal flour, imported and organic included.</w:t>
      </w:r>
    </w:p>
    <w:p w14:paraId="30AC5217" w14:textId="77777777" w:rsidR="00F76637" w:rsidRDefault="0040694B">
      <w:pPr>
        <w:pStyle w:val="Compact"/>
        <w:numPr>
          <w:ilvl w:val="0"/>
          <w:numId w:val="2"/>
        </w:numPr>
      </w:pPr>
      <w:r>
        <w:t xml:space="preserve">The policy was made by statutory </w:t>
      </w:r>
      <w:hyperlink r:id="rId8">
        <w:r w:rsidR="00F76637">
          <w:rPr>
            <w:color w:val="0563C1"/>
            <w:u w:val="single"/>
          </w:rPr>
          <w:t>instrument</w:t>
        </w:r>
      </w:hyperlink>
      <w:r>
        <w:t xml:space="preserve"> under the negative resolution procedure. The Commons never debated it and never voted on it.</w:t>
      </w:r>
    </w:p>
    <w:p w14:paraId="5DD60C3B" w14:textId="73239169" w:rsidR="00F76637" w:rsidRDefault="0040694B">
      <w:pPr>
        <w:pStyle w:val="Compact"/>
        <w:numPr>
          <w:ilvl w:val="0"/>
          <w:numId w:val="2"/>
        </w:numPr>
      </w:pPr>
      <w:r>
        <w:t xml:space="preserve">The claimed 200 birth defects prevented a year comes down, on the government’s own </w:t>
      </w:r>
      <w:hyperlink r:id="rId9">
        <w:r w:rsidR="00F76637">
          <w:rPr>
            <w:color w:val="0563C1"/>
            <w:u w:val="single"/>
          </w:rPr>
          <w:t>figures</w:t>
        </w:r>
      </w:hyperlink>
      <w:r>
        <w:t>, to about 31 fewer affected live births. Most of the 200 are terminations that they hope will not now take place.</w:t>
      </w:r>
    </w:p>
    <w:p w14:paraId="77A00A89" w14:textId="41887A47" w:rsidR="00F76637" w:rsidRDefault="0040694B">
      <w:pPr>
        <w:pStyle w:val="Compact"/>
        <w:numPr>
          <w:ilvl w:val="0"/>
          <w:numId w:val="2"/>
        </w:numPr>
      </w:pPr>
      <w:r>
        <w:t xml:space="preserve">Randomised trials at doses below 1 mg, which is the range fortification delivers, carry a statistically significant </w:t>
      </w:r>
      <w:hyperlink r:id="rId10">
        <w:r w:rsidR="00F76637">
          <w:rPr>
            <w:color w:val="0563C1"/>
            <w:u w:val="single"/>
          </w:rPr>
          <w:t>excess</w:t>
        </w:r>
      </w:hyperlink>
      <w:r>
        <w:t xml:space="preserve"> of cancer of 18 to 23 percent. At higher doses there is no signal and people have used that to average away the signal at fortification doses.  </w:t>
      </w:r>
    </w:p>
    <w:p w14:paraId="51C11CDC" w14:textId="77777777" w:rsidR="00F76637" w:rsidRDefault="0040694B">
      <w:pPr>
        <w:pStyle w:val="Compact"/>
        <w:numPr>
          <w:ilvl w:val="0"/>
          <w:numId w:val="2"/>
        </w:numPr>
      </w:pPr>
      <w:r>
        <w:t xml:space="preserve">In the only </w:t>
      </w:r>
      <w:hyperlink r:id="rId11">
        <w:r w:rsidR="00F76637">
          <w:rPr>
            <w:color w:val="0563C1"/>
            <w:u w:val="single"/>
          </w:rPr>
          <w:t>trial</w:t>
        </w:r>
      </w:hyperlink>
      <w:r>
        <w:t xml:space="preserve"> run in women with no history of the condition, about nine babies were lost for every neural tube defect prevented. Nobody investigated it.</w:t>
      </w:r>
    </w:p>
    <w:p w14:paraId="787CFDC2" w14:textId="77777777" w:rsidR="00F76637" w:rsidRDefault="0040694B">
      <w:pPr>
        <w:pStyle w:val="Compact"/>
        <w:numPr>
          <w:ilvl w:val="0"/>
          <w:numId w:val="2"/>
        </w:numPr>
      </w:pPr>
      <w:r>
        <w:t xml:space="preserve">The NHS told people with heart stents, kidney failure and low vitamin B12 to be careful with folic acid. That advice has been quietly </w:t>
      </w:r>
      <w:hyperlink r:id="rId12">
        <w:r w:rsidR="00F76637">
          <w:rPr>
            <w:color w:val="0563C1"/>
            <w:u w:val="single"/>
          </w:rPr>
          <w:t>rewritten</w:t>
        </w:r>
      </w:hyperlink>
      <w:r>
        <w:t>.</w:t>
      </w:r>
    </w:p>
    <w:p w14:paraId="6E1FF382" w14:textId="5166A4B3" w:rsidR="00F76637" w:rsidRDefault="0040694B">
      <w:pPr>
        <w:pStyle w:val="Compact"/>
        <w:numPr>
          <w:ilvl w:val="0"/>
          <w:numId w:val="2"/>
        </w:numPr>
      </w:pPr>
      <w:r>
        <w:t xml:space="preserve">The safeguards the government’s own scientific committee said should be conditions of the policy are not included in the legislation. Its June 2026 </w:t>
      </w:r>
      <w:hyperlink r:id="rId13">
        <w:r w:rsidR="00F76637">
          <w:rPr>
            <w:color w:val="0563C1"/>
            <w:u w:val="single"/>
          </w:rPr>
          <w:t>response</w:t>
        </w:r>
      </w:hyperlink>
      <w:r>
        <w:t xml:space="preserve"> to the petition says the governments are still “exploring how we will evaluate the impact of the policy”.</w:t>
      </w:r>
    </w:p>
    <w:p w14:paraId="5ACDC221" w14:textId="77777777" w:rsidR="00F76637" w:rsidRDefault="0040694B">
      <w:pPr>
        <w:pStyle w:val="Compact"/>
        <w:numPr>
          <w:ilvl w:val="0"/>
          <w:numId w:val="2"/>
        </w:numPr>
      </w:pPr>
      <w:r>
        <w:t xml:space="preserve">A parliamentary </w:t>
      </w:r>
      <w:hyperlink r:id="rId14">
        <w:r w:rsidR="00F76637">
          <w:rPr>
            <w:color w:val="0563C1"/>
            <w:u w:val="single"/>
          </w:rPr>
          <w:t>petition</w:t>
        </w:r>
      </w:hyperlink>
      <w:r>
        <w:t xml:space="preserve"> to stop the policy has passed 50,000 signatures and stays open until 8 December 2026.</w:t>
      </w:r>
    </w:p>
    <w:p w14:paraId="229D483A" w14:textId="77777777" w:rsidR="00F76637" w:rsidRDefault="0040694B">
      <w:pPr>
        <w:pStyle w:val="Heading3"/>
      </w:pPr>
      <w:bookmarkStart w:id="3" w:name="what-is-happening"/>
      <w:bookmarkEnd w:id="2"/>
      <w:r>
        <w:t>1. What is happening</w:t>
      </w:r>
    </w:p>
    <w:p w14:paraId="06E8A38E" w14:textId="2BC7D2C8" w:rsidR="00F76637" w:rsidRDefault="0040694B">
      <w:pPr>
        <w:pStyle w:val="FirstParagraph"/>
      </w:pPr>
      <w:r>
        <w:t xml:space="preserve">The Bread and Flour (Amendment) (England) Regulations 2024, SI </w:t>
      </w:r>
      <w:hyperlink r:id="rId15">
        <w:r w:rsidR="00F76637">
          <w:rPr>
            <w:color w:val="0563C1"/>
            <w:u w:val="single"/>
          </w:rPr>
          <w:t>2024/1162</w:t>
        </w:r>
      </w:hyperlink>
      <w:r>
        <w:t xml:space="preserve">, were laid before Parliament on 14 November 2024 and take full effect on 13 December 2026. Every 100 grams of non-wholemeal wheat flour must then carry 250 micrograms of synthetic folic acid, imported flour included. Wholemeal is exempt, and so are mills which produce under 500 tonnes a year which amounts to 1 to 2 percent of production. The other three UK nations also introduced matching regulations in </w:t>
      </w:r>
      <w:hyperlink r:id="rId16">
        <w:r w:rsidR="00F76637">
          <w:rPr>
            <w:color w:val="0563C1"/>
            <w:u w:val="single"/>
          </w:rPr>
          <w:t>Northern Ireland</w:t>
        </w:r>
      </w:hyperlink>
      <w:r>
        <w:t xml:space="preserve">, </w:t>
      </w:r>
      <w:hyperlink r:id="rId17">
        <w:r w:rsidR="00F76637">
          <w:rPr>
            <w:color w:val="0563C1"/>
            <w:u w:val="single"/>
          </w:rPr>
          <w:t>Scotland</w:t>
        </w:r>
      </w:hyperlink>
      <w:r>
        <w:t xml:space="preserve"> and </w:t>
      </w:r>
      <w:hyperlink r:id="rId18">
        <w:r w:rsidR="00F76637">
          <w:rPr>
            <w:color w:val="0563C1"/>
            <w:u w:val="single"/>
          </w:rPr>
          <w:t>Wales</w:t>
        </w:r>
      </w:hyperlink>
      <w:r>
        <w:t>.</w:t>
      </w:r>
    </w:p>
    <w:p w14:paraId="25D720D5" w14:textId="10560249" w:rsidR="00F76637" w:rsidRDefault="0040694B">
      <w:pPr>
        <w:pStyle w:val="BodyText"/>
      </w:pPr>
      <w:r>
        <w:t xml:space="preserve">The stated aim is to reduce neural tube defects (NTDs), the birth defects spina bifida and anencephaly, which form in the first four weeks of pregnancy. USA first fortified in 1998 for this reason but Europe and the UK held back, with cancer risk among the concerns. The Scientific Advisory Committee on Nutrition (SACN) first recommended fortification in 2006 but it included </w:t>
      </w:r>
      <w:hyperlink r:id="rId19">
        <w:r w:rsidR="00F76637">
          <w:rPr>
            <w:color w:val="0563C1"/>
            <w:u w:val="single"/>
          </w:rPr>
          <w:t>conditions</w:t>
        </w:r>
      </w:hyperlink>
      <w:r>
        <w:t xml:space="preserve">. It wanted strict caps on the voluntary fortification of other foods, continued supplement advice and robust monitoring of what the population was taking in. None of those conditions is in the legislation. They were put into an Explanatory </w:t>
      </w:r>
      <w:hyperlink r:id="rId20">
        <w:r w:rsidR="00F76637">
          <w:rPr>
            <w:color w:val="0563C1"/>
            <w:u w:val="single"/>
          </w:rPr>
          <w:t>Memorandum</w:t>
        </w:r>
      </w:hyperlink>
      <w:r>
        <w:t xml:space="preserve"> and the regulations themselves carry no review clause, no monitoring duty and no reporting obligation. Since 2024, the number of manufacturers voluntarily adding it has risen and it can now be found in products that the government thought meant there would be choice e.g. wholemeal bread, ancient grain bread and gluten free bread.</w:t>
      </w:r>
    </w:p>
    <w:p w14:paraId="49133F3B" w14:textId="77777777" w:rsidR="00F76637" w:rsidRDefault="0040694B">
      <w:pPr>
        <w:pStyle w:val="Heading3"/>
      </w:pPr>
      <w:bookmarkStart w:id="4" w:name="a-medicine-not-a-food"/>
      <w:bookmarkEnd w:id="3"/>
      <w:r>
        <w:lastRenderedPageBreak/>
        <w:t>2. A medicine, not a food</w:t>
      </w:r>
    </w:p>
    <w:p w14:paraId="026D8896" w14:textId="45BB063B" w:rsidR="00F76637" w:rsidRDefault="0040694B">
      <w:pPr>
        <w:pStyle w:val="FirstParagraph"/>
      </w:pPr>
      <w:r>
        <w:t xml:space="preserve">Folate and folic acid are not the same substance. Folate is a vitamin and a reduced molecule which is essential to the workings of every cell. Folic acid is an oxidised molecule made in a factory, and before the body can use it an enzyme called dihydrofolate reductase has to convert it, which in humans it does up to </w:t>
      </w:r>
      <w:hyperlink r:id="rId21">
        <w:r w:rsidR="00F76637">
          <w:rPr>
            <w:color w:val="0563C1"/>
            <w:u w:val="single"/>
          </w:rPr>
          <w:t>1,300</w:t>
        </w:r>
      </w:hyperlink>
      <w:r>
        <w:t xml:space="preserve"> times more slowly than processing folates. Nobody is exempt from that bottleneck which results in a build up of circulating unmetabolised folic acid (UMFA). This binds the folate receptors of the brain more tightly than natural folate does, effectively blocking natural folates from entry. There is a large medical literature on harm signals from UMFA but its long-term effects in humans have hardly been studied. The United States has fortified since 1998, and unmetabolised folic acid is </w:t>
      </w:r>
      <w:hyperlink r:id="rId22">
        <w:r w:rsidR="00F76637">
          <w:rPr>
            <w:color w:val="0563C1"/>
            <w:u w:val="single"/>
          </w:rPr>
          <w:t>detectable</w:t>
        </w:r>
      </w:hyperlink>
      <w:r>
        <w:t xml:space="preserve"> in over 95 percent of a random sample of the population.</w:t>
      </w:r>
    </w:p>
    <w:p w14:paraId="3F1DA747" w14:textId="1650B758" w:rsidR="00F76637" w:rsidRDefault="007D1115">
      <w:pPr>
        <w:pStyle w:val="BodyText"/>
      </w:pPr>
      <w:r>
        <w:t xml:space="preserve">When not in food, the same compound is a licensed </w:t>
      </w:r>
      <w:hyperlink r:id="rId23">
        <w:r>
          <w:rPr>
            <w:color w:val="0563C1"/>
            <w:u w:val="single"/>
          </w:rPr>
          <w:t>medicine</w:t>
        </w:r>
      </w:hyperlink>
      <w:r>
        <w:t xml:space="preserve">. It treats folate-deficiency megaloblastic anaemia, and it is dispensed with a patient information </w:t>
      </w:r>
      <w:hyperlink r:id="rId24">
        <w:r>
          <w:rPr>
            <w:color w:val="0563C1"/>
            <w:u w:val="single"/>
          </w:rPr>
          <w:t>leaflet</w:t>
        </w:r>
      </w:hyperlink>
      <w:r>
        <w:t xml:space="preserve"> listing contraindications, warnings and drug interactions. Medicines regulation limits over the counter </w:t>
      </w:r>
      <w:hyperlink r:id="rId25">
        <w:r>
          <w:rPr>
            <w:color w:val="0563C1"/>
            <w:u w:val="single"/>
          </w:rPr>
          <w:t>sales</w:t>
        </w:r>
      </w:hyperlink>
      <w:r>
        <w:t xml:space="preserve"> to 500 micrograms per day. The mandate requires at least 250 micrograms per 100 g of flour such that on a heavy carbohydrate day this limit could be exceeded by many people. The Nuffield Council on Bioethics puts measures that eliminate individual choice on the top rung of its intervention </w:t>
      </w:r>
      <w:hyperlink r:id="rId26">
        <w:r>
          <w:rPr>
            <w:color w:val="0563C1"/>
            <w:u w:val="single"/>
          </w:rPr>
          <w:t>ladder</w:t>
        </w:r>
      </w:hyperlink>
      <w:r>
        <w:t>, the rung at which the evidence has to be clearest. The evidence is far from clear.</w:t>
      </w:r>
    </w:p>
    <w:p w14:paraId="6FA71EE4" w14:textId="72333BC1" w:rsidR="00F76637" w:rsidRDefault="00AD20FD">
      <w:pPr>
        <w:pStyle w:val="BodyText"/>
      </w:pPr>
      <w:r>
        <w:t xml:space="preserve">In the past politicians were clear that there must be no mass medication. Because of this argument, the attempts at national water fluoridation failed. The Water (Fluoridation) Act 1985 followed the Strathclyde ruling of 1983 and required the decision to be taken locally, consultation duties were strengthened later, and barely 10 percent of the UK drinks fluoridated water today. Folic acid is a licensed medicine rather than a mineral, and it is being mandated across the whole country without a House of Commons debate and with no equivalent process and no practical way to decline. It is in a surprisingly large number of unexpected </w:t>
      </w:r>
      <w:hyperlink r:id="rId27">
        <w:r>
          <w:rPr>
            <w:color w:val="0563C1"/>
            <w:u w:val="single"/>
          </w:rPr>
          <w:t>products</w:t>
        </w:r>
      </w:hyperlink>
      <w:r>
        <w:t xml:space="preserve"> like oven chips, organic sausages, gravy granules, soy sauce, mustard, Marmite and chicken meatballs.</w:t>
      </w:r>
    </w:p>
    <w:p w14:paraId="79590856" w14:textId="77777777" w:rsidR="00F76637" w:rsidRDefault="0040694B">
      <w:pPr>
        <w:pStyle w:val="Heading3"/>
      </w:pPr>
      <w:bookmarkStart w:id="5" w:name="the-benefit-how-200-becomes-31"/>
      <w:bookmarkEnd w:id="4"/>
      <w:r>
        <w:t>3. The benefit: how 200 becomes 31</w:t>
      </w:r>
    </w:p>
    <w:p w14:paraId="67A1C0A7" w14:textId="32884BBB" w:rsidR="00F76637" w:rsidRDefault="0040694B">
      <w:pPr>
        <w:pStyle w:val="FirstParagraph"/>
      </w:pPr>
      <w:r>
        <w:t xml:space="preserve">Ministers have claimed the policy will prevent approximately 200 NTD-affected pregnancies a year. The figure comes out of a </w:t>
      </w:r>
      <w:hyperlink r:id="rId28">
        <w:r w:rsidR="00F76637">
          <w:rPr>
            <w:color w:val="0563C1"/>
            <w:u w:val="single"/>
          </w:rPr>
          <w:t>model</w:t>
        </w:r>
      </w:hyperlink>
      <w:r>
        <w:t xml:space="preserve"> based on a hypothetical 20 percent reduction and 1,000 affected pregnancies a year which is far higher than the recorded number in the national congenital anomaly </w:t>
      </w:r>
      <w:hyperlink r:id="rId29">
        <w:r w:rsidR="00F76637">
          <w:rPr>
            <w:color w:val="0563C1"/>
            <w:u w:val="single"/>
          </w:rPr>
          <w:t>registry</w:t>
        </w:r>
      </w:hyperlink>
      <w:r>
        <w:t>. Roughly a hundred of the 200 each year are pregnancies that would otherwise have ended in termination after prenatal diagnosis. What is left, the effect on births, is around 31 fewer NTD-affected live births a year, about 28 of them children who would live with a disability and 3 of them fatal cases of anencephaly, out of some 165 affected live births a year in England.</w:t>
      </w:r>
    </w:p>
    <w:p w14:paraId="4368B8C9" w14:textId="65B7EA2D" w:rsidR="00F76637" w:rsidRDefault="0040694B">
      <w:pPr>
        <w:pStyle w:val="BodyText"/>
      </w:pPr>
      <w:r>
        <w:t xml:space="preserve">The government’s </w:t>
      </w:r>
      <w:hyperlink r:id="rId30">
        <w:r w:rsidR="00F76637">
          <w:rPr>
            <w:color w:val="0563C1"/>
            <w:u w:val="single"/>
          </w:rPr>
          <w:t>model</w:t>
        </w:r>
      </w:hyperlink>
      <w:r>
        <w:t xml:space="preserve"> assumed average consumption of non-wholemeal flour at 59 grams a day. Three independent ways of estimating it put the real figure at 83 to 89 grams, 41 to 51 percent higher. Both the projected benefit and every exposure figure in the safety section below are therefore calculated on less flour than people actually eat.</w:t>
      </w:r>
    </w:p>
    <w:p w14:paraId="2385C300" w14:textId="31CE1F13" w:rsidR="00F76637" w:rsidRDefault="0040694B">
      <w:pPr>
        <w:pStyle w:val="BodyText"/>
      </w:pPr>
      <w:r>
        <w:t xml:space="preserve">The trials on benefit from the early 1990s have problems. The MRC </w:t>
      </w:r>
      <w:hyperlink r:id="rId31">
        <w:r w:rsidR="00F76637">
          <w:rPr>
            <w:color w:val="0563C1"/>
            <w:u w:val="single"/>
          </w:rPr>
          <w:t>study</w:t>
        </w:r>
      </w:hyperlink>
      <w:r>
        <w:t xml:space="preserve"> of 1991 gave 4 mg a day, sixteen times what fortification delivers, and it gave it to high-risk women who had already carried an affected pregnancy. Over 95 percent of NTDs occur in women who have not previously been affected. </w:t>
      </w:r>
      <w:hyperlink r:id="rId32">
        <w:r w:rsidR="00F76637">
          <w:rPr>
            <w:color w:val="0563C1"/>
            <w:u w:val="single"/>
          </w:rPr>
          <w:t>Cochrane</w:t>
        </w:r>
      </w:hyperlink>
      <w:r>
        <w:t xml:space="preserve"> looked at fortification itself in 2019 and graded the evidence </w:t>
      </w:r>
      <w:r>
        <w:lastRenderedPageBreak/>
        <w:t>that it reduces the defects as low certainty, which may be why only a third of WHO member states mandate it, no EU member state does and no other country in western Europe does.</w:t>
      </w:r>
    </w:p>
    <w:p w14:paraId="5D969184" w14:textId="67E008C2" w:rsidR="00F76637" w:rsidRDefault="0040694B">
      <w:pPr>
        <w:pStyle w:val="BodyText"/>
      </w:pPr>
      <w:r>
        <w:t xml:space="preserve">The rates have been falling in Britain for decades. Incidence in England and Wales </w:t>
      </w:r>
      <w:hyperlink r:id="rId33">
        <w:r w:rsidR="00F76637">
          <w:rPr>
            <w:color w:val="0563C1"/>
            <w:u w:val="single"/>
          </w:rPr>
          <w:t>fell</w:t>
        </w:r>
      </w:hyperlink>
      <w:r>
        <w:t xml:space="preserve"> from 3.7 per 1,000 births in 1964 to 1.6 per 1,000 by 1990, a fall of 57 percent. That happened before government supplement advice began in 1992, let alone before fortification. Once pregnant women were advised to supplement, the rate then flattened, and it flattened the same way in the USA, in Canada and in Australia, in the countries that fortified their flour and in the countries that did not. A 2020 </w:t>
      </w:r>
      <w:hyperlink r:id="rId34">
        <w:r w:rsidR="00F76637">
          <w:rPr>
            <w:color w:val="0563C1"/>
            <w:u w:val="single"/>
          </w:rPr>
          <w:t>analysis</w:t>
        </w:r>
      </w:hyperlink>
      <w:r>
        <w:t xml:space="preserve"> of the global fortification dataset found no significant association between a country fortifying and its rate of neural tube defects, and a strong relationship with socioeconomic status instead. The 2026 </w:t>
      </w:r>
      <w:hyperlink r:id="rId35">
        <w:r w:rsidR="00F76637">
          <w:rPr>
            <w:color w:val="0563C1"/>
            <w:u w:val="single"/>
          </w:rPr>
          <w:t>review</w:t>
        </w:r>
      </w:hyperlink>
      <w:r>
        <w:t xml:space="preserve"> that followed it concluded that mandatory fortification policies warrant re-evaluation.</w:t>
      </w:r>
    </w:p>
    <w:p w14:paraId="74596FD5" w14:textId="20D645D5" w:rsidR="00F76637" w:rsidRDefault="0040694B">
      <w:pPr>
        <w:pStyle w:val="Heading3"/>
      </w:pPr>
      <w:bookmarkStart w:id="6" w:name="X28d6c260ed17b0671f68a901b714d4b63ea3b90"/>
      <w:bookmarkEnd w:id="5"/>
      <w:r>
        <w:t xml:space="preserve">4. The safety signals </w:t>
      </w:r>
    </w:p>
    <w:p w14:paraId="26243A63" w14:textId="05EF041E" w:rsidR="00F76637" w:rsidRDefault="0040694B">
      <w:pPr>
        <w:pStyle w:val="FirstParagraph"/>
      </w:pPr>
      <w:r>
        <w:rPr>
          <w:b/>
          <w:bCs/>
        </w:rPr>
        <w:t xml:space="preserve">Cancer at fortification doses. </w:t>
      </w:r>
      <w:r>
        <w:t xml:space="preserve">A randomised trial in </w:t>
      </w:r>
      <w:hyperlink r:id="rId36">
        <w:r w:rsidR="00F76637">
          <w:rPr>
            <w:color w:val="0563C1"/>
            <w:u w:val="single"/>
          </w:rPr>
          <w:t>2007</w:t>
        </w:r>
      </w:hyperlink>
      <w:r>
        <w:t xml:space="preserve"> gave 1 mg a day and found an increased risk of both advanced adenomas in the bowel and an increased number of them. The Chief Medical Officer ordered a safety review, and the one member of SACN who had declined to support fortification in 2006 then opposed it altogether. A trial in </w:t>
      </w:r>
      <w:hyperlink r:id="rId37">
        <w:r w:rsidR="00F76637">
          <w:rPr>
            <w:color w:val="0563C1"/>
            <w:u w:val="single"/>
          </w:rPr>
          <w:t>2009</w:t>
        </w:r>
      </w:hyperlink>
      <w:r>
        <w:t xml:space="preserve"> found prostate cancer in 9.7 percent of the men taking a 1 mg supplement compared with 3.3 percent of those on placebo, almost three times as many. When that trial was </w:t>
      </w:r>
      <w:hyperlink r:id="rId38">
        <w:r w:rsidR="00F76637">
          <w:rPr>
            <w:color w:val="0563C1"/>
            <w:u w:val="single"/>
          </w:rPr>
          <w:t>pooled</w:t>
        </w:r>
      </w:hyperlink>
      <w:r>
        <w:t xml:space="preserve"> with five further trials covering around 25,000 men the excess was 24 percent. This concern has been dismissed on the strength of a </w:t>
      </w:r>
      <w:hyperlink r:id="rId39">
        <w:r w:rsidR="00F76637">
          <w:rPr>
            <w:color w:val="0563C1"/>
            <w:u w:val="single"/>
          </w:rPr>
          <w:t>Lancet</w:t>
        </w:r>
      </w:hyperlink>
      <w:r>
        <w:t xml:space="preserve"> analysis which pooled every trial whatever dose it used and found no overall effect. However, when the trials are split by dose the finding of increased risk at doses below 1 mg is reproducible</w:t>
      </w:r>
      <w:r>
        <w:t>, in one analysis of summary results and one of individual patient records.</w:t>
      </w:r>
      <w:r>
        <w:t xml:space="preserve"> Two meta-analyses done independently, one on </w:t>
      </w:r>
      <w:hyperlink r:id="rId40">
        <w:r w:rsidR="00F76637">
          <w:rPr>
            <w:color w:val="0563C1"/>
            <w:u w:val="single"/>
          </w:rPr>
          <w:t>summary</w:t>
        </w:r>
      </w:hyperlink>
      <w:r>
        <w:t xml:space="preserve"> results and one on individual patient </w:t>
      </w:r>
      <w:hyperlink r:id="rId41">
        <w:r w:rsidR="00F76637">
          <w:rPr>
            <w:color w:val="0563C1"/>
            <w:u w:val="single"/>
          </w:rPr>
          <w:t>records</w:t>
        </w:r>
      </w:hyperlink>
      <w:r>
        <w:t>, each found a statistically significant excess of cancer of 18 to 23 percent in the trials at doses below 1 mg, which is the fortification range, and no excess detectable above it. It is well established that drug benefits are dose-dependent but this dose effect seems to be too readily dismissed with regard to safety effects.</w:t>
      </w:r>
    </w:p>
    <w:p w14:paraId="56E0B31E" w14:textId="6E7A1D41" w:rsidR="00F76637" w:rsidRDefault="0040694B">
      <w:pPr>
        <w:pStyle w:val="BodyText"/>
      </w:pPr>
      <w:r>
        <w:rPr>
          <w:b/>
          <w:bCs/>
        </w:rPr>
        <w:t>Nine deaths per defect prevented.</w:t>
      </w:r>
      <w:r>
        <w:t xml:space="preserve"> The </w:t>
      </w:r>
      <w:hyperlink r:id="rId42">
        <w:r w:rsidR="00F76637">
          <w:rPr>
            <w:color w:val="0563C1"/>
            <w:u w:val="single"/>
          </w:rPr>
          <w:t>Czeizel</w:t>
        </w:r>
      </w:hyperlink>
      <w:r>
        <w:t xml:space="preserve"> trial is the only randomised trial of folic acid in women with no history of NTDs given less than 1 mg a day. It recorded a reduction in registered defects but there was also a statistically significant excess of total pregnancy losses, approximately nine for every defect prevented. In 1997 the trial’s own principal investigator asked in The </w:t>
      </w:r>
      <w:hyperlink r:id="rId43">
        <w:r w:rsidR="00F76637">
          <w:rPr>
            <w:color w:val="0563C1"/>
            <w:u w:val="single"/>
          </w:rPr>
          <w:t>Lancet</w:t>
        </w:r>
      </w:hyperlink>
      <w:r>
        <w:t xml:space="preserve">, with Ernest Hook, whether what looked like prevention was the early loss of the affected pregnancies, a mechanism they termed terathanasia. Judith </w:t>
      </w:r>
      <w:hyperlink r:id="rId44">
        <w:r w:rsidR="00F76637">
          <w:rPr>
            <w:color w:val="0563C1"/>
            <w:u w:val="single"/>
          </w:rPr>
          <w:t>Hall</w:t>
        </w:r>
      </w:hyperlink>
      <w:r>
        <w:t xml:space="preserve"> then declared any further trials on the topic would be unethical and no further human trials were done. However, the fetal loss finding was repeated in a </w:t>
      </w:r>
      <w:hyperlink r:id="rId45">
        <w:r w:rsidR="00F76637">
          <w:rPr>
            <w:color w:val="0563C1"/>
            <w:u w:val="single"/>
          </w:rPr>
          <w:t>mouse</w:t>
        </w:r>
      </w:hyperlink>
      <w:r>
        <w:t xml:space="preserve"> model. </w:t>
      </w:r>
    </w:p>
    <w:p w14:paraId="054466DC" w14:textId="5DC14012" w:rsidR="00F76637" w:rsidRDefault="0040694B">
      <w:pPr>
        <w:pStyle w:val="BodyText"/>
      </w:pPr>
      <w:r>
        <w:rPr>
          <w:b/>
          <w:bCs/>
        </w:rPr>
        <w:t>Children.</w:t>
      </w:r>
      <w:r>
        <w:t xml:space="preserve"> Folic acid has never been through a safety trial in a child, and the upper limits set for children are precautionary guidelines which the government admits are extrapolated from the adult risk of B12 masking rather than founded on any evidence in children. The impact </w:t>
      </w:r>
      <w:hyperlink r:id="rId46">
        <w:r w:rsidR="00F76637">
          <w:rPr>
            <w:color w:val="0563C1"/>
            <w:u w:val="single"/>
          </w:rPr>
          <w:t>assessment</w:t>
        </w:r>
      </w:hyperlink>
      <w:r>
        <w:t xml:space="preserve"> laid with the instrument expects between 225,000 and 400,000 people to go over the adult </w:t>
      </w:r>
      <w:hyperlink r:id="rId47">
        <w:r w:rsidR="00F76637">
          <w:rPr>
            <w:color w:val="0563C1"/>
            <w:u w:val="single"/>
          </w:rPr>
          <w:t>guidance</w:t>
        </w:r>
      </w:hyperlink>
      <w:r>
        <w:t xml:space="preserve"> level of 1 mg once intake is averaged across the year, and it records around 72,000 primary school children over their own limit already, before any flour changes, largely through cereals. The government’s own </w:t>
      </w:r>
      <w:hyperlink r:id="rId48">
        <w:r w:rsidR="00F76637">
          <w:rPr>
            <w:color w:val="0563C1"/>
            <w:u w:val="single"/>
          </w:rPr>
          <w:t>modelling</w:t>
        </w:r>
      </w:hyperlink>
      <w:r>
        <w:t xml:space="preserve"> puts 4.4 percent of one to three year olds above their age-specific limit at the dose chosen. The same model tested scenarios where voluntary fortification was capped which brought the figure down to 0.8 percent. The regulations did not include any capping.</w:t>
      </w:r>
    </w:p>
    <w:p w14:paraId="2C2ABB0C" w14:textId="59C3DD50" w:rsidR="00F76637" w:rsidRDefault="0040694B">
      <w:pPr>
        <w:pStyle w:val="BodyText"/>
      </w:pPr>
      <w:r>
        <w:rPr>
          <w:b/>
          <w:bCs/>
        </w:rPr>
        <w:t>Vitamin B12.</w:t>
      </w:r>
      <w:r>
        <w:t xml:space="preserve"> Folic acid masks anaemia, and anaemia is what leads people to be diagnosed with B12 deficiency. The deficiency is common with around 6 percent of UK adults under 60, 20 </w:t>
      </w:r>
      <w:r>
        <w:lastRenderedPageBreak/>
        <w:t xml:space="preserve">percent of those over 60 and 11 percent of vegans </w:t>
      </w:r>
      <w:hyperlink r:id="rId49">
        <w:r w:rsidR="00F76637">
          <w:rPr>
            <w:color w:val="0563C1"/>
            <w:u w:val="single"/>
          </w:rPr>
          <w:t>affected</w:t>
        </w:r>
      </w:hyperlink>
      <w:r>
        <w:t>. If folic acid delays the diagnosis the result is permanent damage to the nervous system e.g. loss of the ability to walk or onset of dementia. These problems can be dismissed as ageing when they were actually entirely preventable. This was a principal reason SACN attached conditions to what it recommended.</w:t>
      </w:r>
    </w:p>
    <w:p w14:paraId="7E568CE1" w14:textId="4A0E19AF" w:rsidR="00F76637" w:rsidRDefault="0040694B">
      <w:pPr>
        <w:pStyle w:val="BodyText"/>
      </w:pPr>
      <w:r>
        <w:rPr>
          <w:b/>
          <w:bCs/>
        </w:rPr>
        <w:t xml:space="preserve">Pregnancy. </w:t>
      </w:r>
      <w:r>
        <w:t xml:space="preserve">Researchers at the University of Warwick </w:t>
      </w:r>
      <w:hyperlink r:id="rId50">
        <w:r w:rsidR="00F76637">
          <w:rPr>
            <w:color w:val="0563C1"/>
            <w:u w:val="single"/>
          </w:rPr>
          <w:t>report</w:t>
        </w:r>
      </w:hyperlink>
      <w:r>
        <w:t xml:space="preserve"> that excess folate from folic acid exposure is already common in early pregnancy and that the higher a mother’s folate, the more gestational diabetes there is, and their </w:t>
      </w:r>
      <w:hyperlink r:id="rId51">
        <w:r w:rsidR="00F76637">
          <w:rPr>
            <w:color w:val="0563C1"/>
            <w:u w:val="single"/>
          </w:rPr>
          <w:t>PRiDE</w:t>
        </w:r>
      </w:hyperlink>
      <w:r>
        <w:t xml:space="preserve"> study linked higher red cell folate to the greater risk. Australia confirms this finding with two cohorts recruited at the same hospital, one before the 2009 fortification mandate and one six to nine years after it showing gestational diabetes </w:t>
      </w:r>
      <w:hyperlink r:id="rId52">
        <w:r w:rsidR="00F76637">
          <w:rPr>
            <w:color w:val="0563C1"/>
            <w:u w:val="single"/>
          </w:rPr>
          <w:t>tripled</w:t>
        </w:r>
      </w:hyperlink>
      <w:r>
        <w:t xml:space="preserve"> in a dose-dependent manner.</w:t>
      </w:r>
    </w:p>
    <w:p w14:paraId="5967858E" w14:textId="77777777" w:rsidR="00F76637" w:rsidRDefault="0040694B">
      <w:pPr>
        <w:pStyle w:val="Heading3"/>
      </w:pPr>
      <w:bookmarkStart w:id="7" w:name="the-people-told-to-avoid-it"/>
      <w:bookmarkEnd w:id="6"/>
      <w:r>
        <w:t>5. The people told to avoid it</w:t>
      </w:r>
    </w:p>
    <w:p w14:paraId="737B6F20" w14:textId="19FC1D54" w:rsidR="00F76637" w:rsidRDefault="0040694B">
      <w:pPr>
        <w:pStyle w:val="FirstParagraph"/>
      </w:pPr>
      <w:r>
        <w:t xml:space="preserve">Until recently the NHS told particular groups to avoid folic acid, or to take it only under medical supervision. In the run-up to December that advice has been quietly </w:t>
      </w:r>
      <w:hyperlink r:id="rId53">
        <w:r w:rsidR="00F76637">
          <w:rPr>
            <w:color w:val="0563C1"/>
            <w:u w:val="single"/>
          </w:rPr>
          <w:t>softened</w:t>
        </w:r>
      </w:hyperlink>
      <w:r>
        <w:t xml:space="preserve"> online, the warnings to patients on kidney </w:t>
      </w:r>
      <w:hyperlink r:id="rId54">
        <w:r w:rsidR="00F76637">
          <w:rPr>
            <w:color w:val="0563C1"/>
            <w:u w:val="single"/>
          </w:rPr>
          <w:t>dialysis</w:t>
        </w:r>
      </w:hyperlink>
      <w:r>
        <w:t xml:space="preserve"> and to patients fitted with coronary </w:t>
      </w:r>
      <w:hyperlink r:id="rId55">
        <w:r w:rsidR="00F76637">
          <w:rPr>
            <w:color w:val="0563C1"/>
            <w:u w:val="single"/>
          </w:rPr>
          <w:t>stents</w:t>
        </w:r>
      </w:hyperlink>
      <w:r>
        <w:t xml:space="preserve"> among them, and roughly 100,000 people are fitted with stents each year. Esther McVey challenged them in a written </w:t>
      </w:r>
      <w:hyperlink r:id="rId56">
        <w:r w:rsidR="00F76637">
          <w:rPr>
            <w:color w:val="0563C1"/>
            <w:u w:val="single"/>
          </w:rPr>
          <w:t>question</w:t>
        </w:r>
      </w:hyperlink>
      <w:r>
        <w:t xml:space="preserve"> in Parliament and Ministers called it routine simplification of information. Nothing peer-reviewed has been published since that overturns the studies the original warnings were built on. For the millions of people concerned the risk remains. </w:t>
      </w:r>
    </w:p>
    <w:p w14:paraId="616316F5" w14:textId="77FDCF51" w:rsidR="00F76637" w:rsidRDefault="0040694B">
      <w:pPr>
        <w:pStyle w:val="BodyText"/>
      </w:pPr>
      <w:r>
        <w:t xml:space="preserve">Folic acid is closely involved in the making of DNA and cell replication, which is why clinicians advise caution with it in cancer. Around 3.5 million people in the UK are living with cancer, roughly 5,500 in every parliamentary constituency, and more than 400,000 new </w:t>
      </w:r>
      <w:hyperlink r:id="rId57">
        <w:r w:rsidR="00F76637">
          <w:rPr>
            <w:color w:val="0563C1"/>
            <w:u w:val="single"/>
          </w:rPr>
          <w:t>cases</w:t>
        </w:r>
      </w:hyperlink>
      <w:r>
        <w:t xml:space="preserve"> arrive each year. The site with the strongest trial signal is the prostate, and prostate cancer has now </w:t>
      </w:r>
      <w:hyperlink r:id="rId58">
        <w:r w:rsidR="00F76637">
          <w:rPr>
            <w:color w:val="0563C1"/>
            <w:u w:val="single"/>
          </w:rPr>
          <w:t>overtaken</w:t>
        </w:r>
      </w:hyperlink>
      <w:r>
        <w:t xml:space="preserve"> breast cancer as the commonest cancer diagnosed in England, 55,033 diagnoses in 2023 compared with 47,526. The British Dietetic </w:t>
      </w:r>
      <w:hyperlink r:id="rId59">
        <w:r w:rsidR="00F76637">
          <w:rPr>
            <w:color w:val="0563C1"/>
            <w:u w:val="single"/>
          </w:rPr>
          <w:t>Association</w:t>
        </w:r>
      </w:hyperlink>
      <w:r>
        <w:t xml:space="preserve"> tells anyone with a history of bowel cancer to keep folic acid supplements below 200 micrograms a day. Someone eating an ordinary 100 grams of flour a day (which is not much!) will eat approximately 250 micrograms from the mandate alone. </w:t>
      </w:r>
    </w:p>
    <w:p w14:paraId="3174AA6B" w14:textId="77777777" w:rsidR="00F76637" w:rsidRDefault="0040694B">
      <w:pPr>
        <w:pStyle w:val="Heading3"/>
      </w:pPr>
      <w:bookmarkStart w:id="8" w:name="law-without-a-debate"/>
      <w:bookmarkEnd w:id="7"/>
      <w:r>
        <w:t>6. Law without a debate</w:t>
      </w:r>
    </w:p>
    <w:p w14:paraId="63BA968C" w14:textId="28BA507F" w:rsidR="00F76637" w:rsidRDefault="0040694B">
      <w:pPr>
        <w:pStyle w:val="FirstParagraph"/>
      </w:pPr>
      <w:r>
        <w:t xml:space="preserve">Lord Rooker introduced a Private Members </w:t>
      </w:r>
      <w:hyperlink r:id="rId60">
        <w:r w:rsidR="00F76637">
          <w:rPr>
            <w:color w:val="0563C1"/>
            <w:u w:val="single"/>
          </w:rPr>
          <w:t>Bill</w:t>
        </w:r>
      </w:hyperlink>
      <w:r>
        <w:t xml:space="preserve"> on this in June 2015 and again in the session after. It cleared the Lords and was brought to the Commons in February 2017, where the Government refused it debating time. The secondary legislation was passed in the end under the negative resolution procedure, with no Commons debate, no amendment stages and no vote on the principle. Parliament’s discussion of the subject came to two short and poorly attended backbench sessions in 2018, neither of them about this instrument. Both were debates on the general c</w:t>
      </w:r>
      <w:r>
        <w:t>ase for fortification. There was a public consultation on the plan in 2019 and on implementation in 2022. No select committee has inquired into it, not Health and Social Care and not EFRA, and the technical scrutiny committees trusted the executive completely.</w:t>
      </w:r>
    </w:p>
    <w:p w14:paraId="082E643C" w14:textId="167577A4" w:rsidR="00F76637" w:rsidRDefault="0040694B">
      <w:pPr>
        <w:pStyle w:val="BodyText"/>
      </w:pPr>
      <w:r>
        <w:t xml:space="preserve">The Commons Library </w:t>
      </w:r>
      <w:hyperlink r:id="rId61">
        <w:r w:rsidR="00F76637">
          <w:rPr>
            <w:color w:val="0563C1"/>
            <w:u w:val="single"/>
          </w:rPr>
          <w:t>briefing</w:t>
        </w:r>
      </w:hyperlink>
      <w:r>
        <w:t xml:space="preserve"> of 2018 put SACN’s position as a clear endorsement. It left out that the support was conditional, on strict controls over voluntary fortification, on robust monitoring of population intakes and on continued supplement advice, and that it was not unanimous. Even the proposed monitoring would have been inadequate. The design SACN drew up in </w:t>
      </w:r>
      <w:hyperlink r:id="rId62">
        <w:r w:rsidR="00F76637">
          <w:rPr>
            <w:color w:val="0563C1"/>
            <w:u w:val="single"/>
          </w:rPr>
          <w:t>2009</w:t>
        </w:r>
      </w:hyperlink>
      <w:r>
        <w:t xml:space="preserve"> would have had just 13 percent power to detect a 10 percent rise in colorectal cancer, and in the event none of it was included in the legislation. The government’s June 2026 </w:t>
      </w:r>
      <w:hyperlink r:id="rId63">
        <w:r w:rsidR="00F76637">
          <w:rPr>
            <w:color w:val="0563C1"/>
            <w:u w:val="single"/>
          </w:rPr>
          <w:t>response</w:t>
        </w:r>
      </w:hyperlink>
      <w:r>
        <w:t xml:space="preserve"> to the parliamentary petition says: “The UK Government and devolved governments are exploring how we will evaluate the impact of the policy”. That is eighteen months after the instrument was laid and six months before enforcement. No evaluation framework exists.</w:t>
      </w:r>
    </w:p>
    <w:p w14:paraId="76C8106F" w14:textId="77777777" w:rsidR="00F76637" w:rsidRDefault="0040694B">
      <w:pPr>
        <w:pStyle w:val="Heading3"/>
      </w:pPr>
      <w:bookmarkStart w:id="9" w:name="industry-fingerprints"/>
      <w:bookmarkEnd w:id="8"/>
      <w:r>
        <w:lastRenderedPageBreak/>
        <w:t>7. Industry fingerprints</w:t>
      </w:r>
    </w:p>
    <w:p w14:paraId="3209F6D0" w14:textId="04811A61" w:rsidR="001D7010" w:rsidRDefault="0040694B">
      <w:pPr>
        <w:pStyle w:val="FirstParagraph"/>
      </w:pPr>
      <w:r>
        <w:t xml:space="preserve">Food industry involvement in SACN has drawn media investigation and parliamentary </w:t>
      </w:r>
      <w:hyperlink r:id="rId64">
        <w:r w:rsidR="001D7010">
          <w:rPr>
            <w:color w:val="0563C1"/>
            <w:u w:val="single"/>
          </w:rPr>
          <w:t>scrutiny</w:t>
        </w:r>
      </w:hyperlink>
      <w:r>
        <w:t>. The House of Lords Food, Diet and Obesity Committee examined industry conflicts across the government’s diet advisory bodies, and in the Lords debate on its report a committee member said 14 of SACN’s 16 members directly or indirectly take money from the food industry. Industry was accommodated in the final regulations</w:t>
      </w:r>
      <w:r>
        <w:t>, where the dose moved up to 250 micrograms despite SACN warning about over-exposure.</w:t>
      </w:r>
    </w:p>
    <w:p w14:paraId="694DA921" w14:textId="68A853F0" w:rsidR="001D7010" w:rsidRDefault="0040694B">
      <w:pPr>
        <w:pStyle w:val="FirstParagraph"/>
      </w:pPr>
      <w:r>
        <w:t xml:space="preserve">The recommended daily amounts also were influenced by industry. An independent US panel set the requirement at 200 micrograms a day in 1989, and in 1998 a US </w:t>
      </w:r>
      <w:hyperlink r:id="rId65">
        <w:r w:rsidR="001D7010">
          <w:rPr>
            <w:color w:val="0563C1"/>
            <w:u w:val="single"/>
          </w:rPr>
          <w:t>panel</w:t>
        </w:r>
      </w:hyperlink>
      <w:r>
        <w:t xml:space="preserve"> part-funded by folic acid manufacturers, Roche, Daiichi and Mead Johnson among them, doubled it to 400, a level that is unachievable on virtually any diet. </w:t>
      </w:r>
    </w:p>
    <w:p w14:paraId="742B6CD4" w14:textId="31167495" w:rsidR="00F76637" w:rsidRDefault="001D7010">
      <w:pPr>
        <w:pStyle w:val="FirstParagraph"/>
      </w:pPr>
      <w:r>
        <w:t>The policy is being promoted by public-private initiatives such as the Global Alliance for Improved Nutrition, which keeps operational links to the food multinationals and works with the WHO and with national governments, the UK’s included, to write fortification into law.</w:t>
      </w:r>
    </w:p>
    <w:p w14:paraId="40FB009E" w14:textId="77777777" w:rsidR="00F76637" w:rsidRDefault="0040694B">
      <w:pPr>
        <w:pStyle w:val="Heading3"/>
      </w:pPr>
      <w:bookmarkStart w:id="10" w:name="what-happens-next"/>
      <w:bookmarkEnd w:id="9"/>
      <w:r>
        <w:t>8. What happens next</w:t>
      </w:r>
    </w:p>
    <w:p w14:paraId="7853941F" w14:textId="259D79C1" w:rsidR="00F76637" w:rsidRDefault="0040694B">
      <w:pPr>
        <w:pStyle w:val="FirstParagraph"/>
      </w:pPr>
      <w:r>
        <w:t xml:space="preserve">Enforcement begins on 13 December 2026. The parliamentary </w:t>
      </w:r>
      <w:hyperlink r:id="rId66">
        <w:r w:rsidR="00F76637">
          <w:rPr>
            <w:color w:val="0563C1"/>
            <w:u w:val="single"/>
          </w:rPr>
          <w:t>petition</w:t>
        </w:r>
      </w:hyperlink>
      <w:r>
        <w:t xml:space="preserve"> to end the policy has passed 50,000 signatures and stays open until 8 December 2026. If it passes 100,000 before then it must be considered for a parliamentary debate, although not many MPs understand the topic. On the government’s own figures the policy buys around 31 fewer affected live births a year with the daily exposure of 69 million people to unquantified risk. </w:t>
      </w:r>
    </w:p>
    <w:p w14:paraId="39666A97" w14:textId="77777777" w:rsidR="00F76637" w:rsidRDefault="0040694B">
      <w:pPr>
        <w:pStyle w:val="BodyText"/>
      </w:pPr>
      <w:r>
        <w:t>Prepared by Dr Clare Craig FRCPath Diagnostic Pathologist. Working pro bono with no conflicts of interest.</w:t>
      </w:r>
    </w:p>
    <w:p w14:paraId="2913EA1D" w14:textId="77777777" w:rsidR="00F76637" w:rsidRDefault="0040694B">
      <w:pPr>
        <w:pStyle w:val="BodyText"/>
      </w:pPr>
      <w:r>
        <w:t>For further information or to discuss these concerns please contact Dr Craig: 07785 340979 or craig.clare@gmail.com</w:t>
      </w:r>
      <w:bookmarkEnd w:id="0"/>
      <w:bookmarkEnd w:id="1"/>
      <w:bookmarkEnd w:id="10"/>
    </w:p>
    <w:sectPr w:rsidR="00F7663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33899" w14:textId="77777777" w:rsidR="0040694B" w:rsidRDefault="0040694B">
      <w:pPr>
        <w:spacing w:after="0"/>
      </w:pPr>
      <w:r>
        <w:separator/>
      </w:r>
    </w:p>
  </w:endnote>
  <w:endnote w:type="continuationSeparator" w:id="0">
    <w:p w14:paraId="152D5CBD" w14:textId="77777777" w:rsidR="0040694B" w:rsidRDefault="0040694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AFF6A" w14:textId="77777777" w:rsidR="0040694B" w:rsidRDefault="0040694B">
      <w:r>
        <w:separator/>
      </w:r>
    </w:p>
  </w:footnote>
  <w:footnote w:type="continuationSeparator" w:id="0">
    <w:p w14:paraId="3C94445A" w14:textId="77777777" w:rsidR="0040694B" w:rsidRDefault="00406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C92941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5CEE75C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983002768">
    <w:abstractNumId w:val="0"/>
  </w:num>
  <w:num w:numId="2" w16cid:durableId="1659067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76637"/>
    <w:rsid w:val="00105E1E"/>
    <w:rsid w:val="001D7010"/>
    <w:rsid w:val="0040694B"/>
    <w:rsid w:val="00503BE7"/>
    <w:rsid w:val="007D1115"/>
    <w:rsid w:val="00AD20FD"/>
    <w:rsid w:val="00BE6663"/>
    <w:rsid w:val="00DF0D04"/>
    <w:rsid w:val="00EF6E09"/>
    <w:rsid w:val="00F347D5"/>
    <w:rsid w:val="00F7663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D6028"/>
  <w15:docId w15:val="{C6794919-79A9-4EBE-8B50-CA646C0A5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Georgia" w:hAnsi="Georgia"/>
      <w:sz w:val="22"/>
      <w:szCs w:val="22"/>
    </w:rPr>
  </w:style>
  <w:style w:type="paragraph" w:styleId="Heading1">
    <w:name w:val="heading 1"/>
    <w:basedOn w:val="Normal"/>
    <w:next w:val="BodyText"/>
    <w:uiPriority w:val="9"/>
    <w:qFormat/>
    <w:pPr>
      <w:keepNext/>
      <w:keepLines/>
      <w:spacing w:before="480" w:after="0"/>
      <w:outlineLvl w:val="0"/>
    </w:pPr>
    <w:rPr>
      <w:bCs/>
      <w:color w:val="000000"/>
      <w:sz w:val="32"/>
      <w:szCs w:val="32"/>
    </w:rPr>
  </w:style>
  <w:style w:type="paragraph" w:styleId="Heading2">
    <w:name w:val="heading 2"/>
    <w:basedOn w:val="Normal"/>
    <w:next w:val="BodyText"/>
    <w:uiPriority w:val="9"/>
    <w:unhideWhenUsed/>
    <w:qFormat/>
    <w:pPr>
      <w:keepNext/>
      <w:keepLines/>
      <w:spacing w:before="200" w:after="0"/>
      <w:outlineLvl w:val="1"/>
    </w:pPr>
    <w:rPr>
      <w:bCs/>
      <w:color w:val="000000"/>
      <w:sz w:val="28"/>
      <w:szCs w:val="28"/>
    </w:rPr>
  </w:style>
  <w:style w:type="paragraph" w:styleId="Heading3">
    <w:name w:val="heading 3"/>
    <w:basedOn w:val="Normal"/>
    <w:next w:val="BodyText"/>
    <w:uiPriority w:val="9"/>
    <w:unhideWhenUsed/>
    <w:qFormat/>
    <w:pPr>
      <w:keepNext/>
      <w:keepLines/>
      <w:spacing w:before="200" w:after="0"/>
      <w:outlineLvl w:val="2"/>
    </w:pPr>
    <w:rPr>
      <w:bCs/>
      <w:color w:val="000000"/>
      <w:sz w:val="24"/>
      <w:szCs w:val="24"/>
    </w:rPr>
  </w:style>
  <w:style w:type="paragraph" w:styleId="Heading4">
    <w:name w:val="heading 4"/>
    <w:basedOn w:val="Normal"/>
    <w:next w:val="BodyText"/>
    <w:uiPriority w:val="9"/>
    <w:unhideWhenUsed/>
    <w:qFormat/>
    <w:pPr>
      <w:keepNext/>
      <w:keepLines/>
      <w:spacing w:before="200" w:after="0"/>
      <w:outlineLvl w:val="3"/>
    </w:pPr>
    <w:rPr>
      <w:b/>
      <w:bCs/>
      <w:i/>
      <w:color w:val="000000"/>
      <w:sz w:val="24"/>
      <w:szCs w:val="24"/>
    </w:rPr>
  </w:style>
  <w:style w:type="paragraph" w:styleId="Heading5">
    <w:name w:val="heading 5"/>
    <w:basedOn w:val="Normal"/>
    <w:next w:val="BodyText"/>
    <w:uiPriority w:val="9"/>
    <w:unhideWhenUsed/>
    <w:qFormat/>
    <w:pPr>
      <w:keepNext/>
      <w:keepLines/>
      <w:spacing w:before="200" w:after="0"/>
      <w:outlineLvl w:val="4"/>
    </w:pPr>
    <w:rPr>
      <w:b/>
      <w:iCs/>
      <w:color w:val="000000"/>
      <w:sz w:val="24"/>
      <w:szCs w:val="24"/>
    </w:rPr>
  </w:style>
  <w:style w:type="paragraph" w:styleId="Heading6">
    <w:name w:val="heading 6"/>
    <w:basedOn w:val="Normal"/>
    <w:next w:val="BodyText"/>
    <w:uiPriority w:val="9"/>
    <w:unhideWhenUsed/>
    <w:qFormat/>
    <w:pPr>
      <w:keepNext/>
      <w:keepLines/>
      <w:spacing w:before="200" w:after="0"/>
      <w:outlineLvl w:val="5"/>
    </w:pPr>
    <w:rPr>
      <w:b/>
      <w:color w:val="000000"/>
      <w:sz w:val="24"/>
      <w:szCs w:val="24"/>
    </w:rPr>
  </w:style>
  <w:style w:type="paragraph" w:styleId="Heading7">
    <w:name w:val="heading 7"/>
    <w:basedOn w:val="Normal"/>
    <w:next w:val="BodyText"/>
    <w:uiPriority w:val="9"/>
    <w:unhideWhenUsed/>
    <w:qFormat/>
    <w:pPr>
      <w:keepNext/>
      <w:keepLines/>
      <w:spacing w:before="200" w:after="0"/>
      <w:outlineLvl w:val="6"/>
    </w:pPr>
    <w:rPr>
      <w:b/>
      <w:color w:val="000000"/>
      <w:sz w:val="24"/>
      <w:szCs w:val="24"/>
    </w:rPr>
  </w:style>
  <w:style w:type="paragraph" w:styleId="Heading8">
    <w:name w:val="heading 8"/>
    <w:basedOn w:val="Normal"/>
    <w:next w:val="BodyText"/>
    <w:uiPriority w:val="9"/>
    <w:unhideWhenUsed/>
    <w:qFormat/>
    <w:pPr>
      <w:keepNext/>
      <w:keepLines/>
      <w:spacing w:before="200" w:after="0"/>
      <w:outlineLvl w:val="7"/>
    </w:pPr>
    <w:rPr>
      <w:b/>
      <w:color w:val="000000"/>
      <w:sz w:val="24"/>
      <w:szCs w:val="24"/>
    </w:rPr>
  </w:style>
  <w:style w:type="paragraph" w:styleId="Heading9">
    <w:name w:val="heading 9"/>
    <w:basedOn w:val="Normal"/>
    <w:next w:val="BodyText"/>
    <w:uiPriority w:val="9"/>
    <w:unhideWhenUsed/>
    <w:qFormat/>
    <w:pPr>
      <w:keepNext/>
      <w:keepLines/>
      <w:spacing w:before="200" w:after="0"/>
      <w:outlineLvl w:val="8"/>
    </w:pPr>
    <w:rPr>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bCs/>
      <w:color w:val="000000"/>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uffieldbioethics.org/publication/public-health-ethical-issues/" TargetMode="External"/><Relationship Id="rId21" Type="http://schemas.openxmlformats.org/officeDocument/2006/relationships/hyperlink" Target="https://doi.org/10.1073/pnas.0902072106" TargetMode="External"/><Relationship Id="rId34" Type="http://schemas.openxmlformats.org/officeDocument/2006/relationships/hyperlink" Target="https://www.mdpi.com/2072-6643/12/1/247" TargetMode="External"/><Relationship Id="rId42" Type="http://schemas.openxmlformats.org/officeDocument/2006/relationships/hyperlink" Target="https://www.nejm.org/doi/full/10.1056/NEJM199212243272602" TargetMode="External"/><Relationship Id="rId47" Type="http://schemas.openxmlformats.org/officeDocument/2006/relationships/hyperlink" Target="https://cot.food.gov.uk/sites/default/files/cot/vitmin2003.pdf" TargetMode="External"/><Relationship Id="rId50" Type="http://schemas.openxmlformats.org/officeDocument/2006/relationships/hyperlink" Target="https://www.bmj.com/content/381/bmj.p1158/rr-1" TargetMode="External"/><Relationship Id="rId55" Type="http://schemas.openxmlformats.org/officeDocument/2006/relationships/hyperlink" Target="https://www.nejm.org/doi/full/10.1056/NEJMoa032845" TargetMode="External"/><Relationship Id="rId63" Type="http://schemas.openxmlformats.org/officeDocument/2006/relationships/hyperlink" Target="https://petition.parliament.uk/petitions/769589" TargetMode="External"/><Relationship Id="rId68" Type="http://schemas.openxmlformats.org/officeDocument/2006/relationships/theme" Target="theme/theme1.xml"/><Relationship Id="rId7" Type="http://schemas.openxmlformats.org/officeDocument/2006/relationships/hyperlink" Target="https://www.legislation.gov.uk/uksi/2024/1162" TargetMode="External"/><Relationship Id="rId2" Type="http://schemas.openxmlformats.org/officeDocument/2006/relationships/styles" Target="styles.xml"/><Relationship Id="rId16" Type="http://schemas.openxmlformats.org/officeDocument/2006/relationships/hyperlink" Target="https://www.legislation.gov.uk/nisr/2024/196/made" TargetMode="External"/><Relationship Id="rId29" Type="http://schemas.openxmlformats.org/officeDocument/2006/relationships/hyperlink" Target="https://digital.nhs.uk/data-and-information/publications/statistical/ncardrs-congenital-anomaly-statistics-annual-data/ncardrs-congenital-condition-statistics-report-2022" TargetMode="External"/><Relationship Id="rId11" Type="http://schemas.openxmlformats.org/officeDocument/2006/relationships/hyperlink" Target="https://www.nejm.org/doi/full/10.1056/NEJM199212243272602" TargetMode="External"/><Relationship Id="rId24" Type="http://schemas.openxmlformats.org/officeDocument/2006/relationships/hyperlink" Target="https://www.medicines.org.uk/emc/product/6998/pil" TargetMode="External"/><Relationship Id="rId32" Type="http://schemas.openxmlformats.org/officeDocument/2006/relationships/hyperlink" Target="https://www.cochranelibrary.com/cdsr/doi/10.1002/14651858.CD012150.pub2/full" TargetMode="External"/><Relationship Id="rId37" Type="http://schemas.openxmlformats.org/officeDocument/2006/relationships/hyperlink" Target="https://academic.oup.com/jnci/article-abstract/101/6/432/997701?redirectedFrom=fulltext" TargetMode="External"/><Relationship Id="rId40" Type="http://schemas.openxmlformats.org/officeDocument/2006/relationships/hyperlink" Target="https://doi.org/10.1136/bmjopen-2011-000653" TargetMode="External"/><Relationship Id="rId45" Type="http://schemas.openxmlformats.org/officeDocument/2006/relationships/hyperlink" Target="https://pubmed.ncbi.nlm.nih.gov/21693562/" TargetMode="External"/><Relationship Id="rId53" Type="http://schemas.openxmlformats.org/officeDocument/2006/relationships/hyperlink" Target="https://hartuk.substack.com/p/the-nhss-folic-acid-rewrite" TargetMode="External"/><Relationship Id="rId58" Type="http://schemas.openxmlformats.org/officeDocument/2006/relationships/hyperlink" Target="https://prostatecanceruk.org/about-us/news-and-views/2025/01/most-common-cancer-england" TargetMode="External"/><Relationship Id="rId66" Type="http://schemas.openxmlformats.org/officeDocument/2006/relationships/hyperlink" Target="https://petition.parliament.uk/petitions/769589" TargetMode="External"/><Relationship Id="rId5" Type="http://schemas.openxmlformats.org/officeDocument/2006/relationships/footnotes" Target="footnotes.xml"/><Relationship Id="rId61" Type="http://schemas.openxmlformats.org/officeDocument/2006/relationships/hyperlink" Target="https://commonslibrary.parliament.uk/research-briefings/cdp-2018-0234/" TargetMode="External"/><Relationship Id="rId19" Type="http://schemas.openxmlformats.org/officeDocument/2006/relationships/hyperlink" Target="https://assets.publishing.service.gov.uk/media/5a7e370a40f0b62305b818a9/SACN_Folate_and_Disease_Prevention_Report.pdf" TargetMode="External"/><Relationship Id="rId14" Type="http://schemas.openxmlformats.org/officeDocument/2006/relationships/hyperlink" Target="https://petition.parliament.uk/petitions/769589" TargetMode="External"/><Relationship Id="rId22" Type="http://schemas.openxmlformats.org/officeDocument/2006/relationships/hyperlink" Target="https://doi.org/10.3945/jn.114.201210" TargetMode="External"/><Relationship Id="rId27" Type="http://schemas.openxmlformats.org/officeDocument/2006/relationships/hyperlink" Target="https://x.com/ClareCraigPath/status/2087843372576780686?s=20" TargetMode="External"/><Relationship Id="rId30" Type="http://schemas.openxmlformats.org/officeDocument/2006/relationships/hyperlink" Target="https://www.foodstandards.gov.scot/science-and-evidence/stochastic-modelling-to-estimate-the-potential-impact-of-fortification-of-flour-with-folic-acid-in-the-uk" TargetMode="External"/><Relationship Id="rId35" Type="http://schemas.openxmlformats.org/officeDocument/2006/relationships/hyperlink" Target="https://www.mdpi.com/2072-6643/18/11/1758" TargetMode="External"/><Relationship Id="rId43" Type="http://schemas.openxmlformats.org/officeDocument/2006/relationships/hyperlink" Target="https://www.thelancet.com/journals/lancet/article/PIIS0140-6736(97)01342-1/abstract" TargetMode="External"/><Relationship Id="rId48" Type="http://schemas.openxmlformats.org/officeDocument/2006/relationships/hyperlink" Target="https://www.foodstandards.gov.scot/downloads/Appendix_X.pdf" TargetMode="External"/><Relationship Id="rId56" Type="http://schemas.openxmlformats.org/officeDocument/2006/relationships/hyperlink" Target="https://questions-statements.parliament.uk/written-questions?Answered=Any&amp;AnsweredFrom=&amp;AnsweredTo=&amp;DateFrom=01%2F01%2F2025&amp;DateTo=31%2F07%2F2026&amp;Expanded=True&amp;House=Commons&amp;SearchTerm=Folic%20&amp;Page=1" TargetMode="External"/><Relationship Id="rId64" Type="http://schemas.openxmlformats.org/officeDocument/2006/relationships/hyperlink" Target="https://publications.parliament.uk/pa/ld5901/ldselect/ldmfdo/19/1907.htm" TargetMode="External"/><Relationship Id="rId8" Type="http://schemas.openxmlformats.org/officeDocument/2006/relationships/hyperlink" Target="https://www.legislation.gov.uk/uksi/2024/1162/pdfs/uksiem_20241162_en_001.pdf" TargetMode="External"/><Relationship Id="rId51" Type="http://schemas.openxmlformats.org/officeDocument/2006/relationships/hyperlink" Target="https://link.springer.com/article/10.1007/s00125-021-05510-7" TargetMode="External"/><Relationship Id="rId3" Type="http://schemas.openxmlformats.org/officeDocument/2006/relationships/settings" Target="settings.xml"/><Relationship Id="rId12" Type="http://schemas.openxmlformats.org/officeDocument/2006/relationships/hyperlink" Target="https://hartuk.substack.com/p/the-nhss-folic-acid-rewrite" TargetMode="External"/><Relationship Id="rId17" Type="http://schemas.openxmlformats.org/officeDocument/2006/relationships/hyperlink" Target="https://www.legislation.gov.uk/ssi/2024/387/made" TargetMode="External"/><Relationship Id="rId25" Type="http://schemas.openxmlformats.org/officeDocument/2006/relationships/hyperlink" Target="https://bnf.nice.org.uk/drugs/folic-acid/" TargetMode="External"/><Relationship Id="rId33" Type="http://schemas.openxmlformats.org/officeDocument/2006/relationships/hyperlink" Target="https://journals.sagepub.com/doi/pdf/10.1258/096914107781261945" TargetMode="External"/><Relationship Id="rId38" Type="http://schemas.openxmlformats.org/officeDocument/2006/relationships/hyperlink" Target="https://bmjopen.bmj.com/content/2/1/e000653" TargetMode="External"/><Relationship Id="rId46" Type="http://schemas.openxmlformats.org/officeDocument/2006/relationships/hyperlink" Target="https://www.legislation.gov.uk/uksi/2024/1162/pdfs/uksiod_20241162_en_001.pdf" TargetMode="External"/><Relationship Id="rId59" Type="http://schemas.openxmlformats.org/officeDocument/2006/relationships/hyperlink" Target="https://www.bda.uk.com/resource/folic-acid.html" TargetMode="External"/><Relationship Id="rId67" Type="http://schemas.openxmlformats.org/officeDocument/2006/relationships/fontTable" Target="fontTable.xml"/><Relationship Id="rId20" Type="http://schemas.openxmlformats.org/officeDocument/2006/relationships/hyperlink" Target="https://www.legislation.gov.uk/uksi/2024/1162/pdfs/uksiem_20241162_en_001.pdf" TargetMode="External"/><Relationship Id="rId41" Type="http://schemas.openxmlformats.org/officeDocument/2006/relationships/hyperlink" Target="https://pubmed.ncbi.nlm.nih.gov/23352552/" TargetMode="External"/><Relationship Id="rId54" Type="http://schemas.openxmlformats.org/officeDocument/2006/relationships/hyperlink" Target="https://www.lancashireandsouthcumbriaformulary.nhs.uk/docs/files/New%20Medicine%20Assessment%20Renavit%20Final%20Recommendation%20Following%20LMMG_WEBSITE.pdf" TargetMode="External"/><Relationship Id="rId62" Type="http://schemas.openxmlformats.org/officeDocument/2006/relationships/hyperlink" Target="https://assets.publishing.service.gov.uk/media/5a7efb89ed915d74e6227b4d/SACN_Report_to_CMO_on_folic_acid_and_colorectal_cancer_risk_.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egislation.gov.uk/uksi/2024/1162" TargetMode="External"/><Relationship Id="rId23" Type="http://schemas.openxmlformats.org/officeDocument/2006/relationships/hyperlink" Target="https://www.medicines.org.uk/emc/product/6998" TargetMode="External"/><Relationship Id="rId28" Type="http://schemas.openxmlformats.org/officeDocument/2006/relationships/hyperlink" Target="https://assets.publishing.service.gov.uk/media/5d020f3640f0b609ad3158a3/folic-acid-impact-assessment.pdf" TargetMode="External"/><Relationship Id="rId36" Type="http://schemas.openxmlformats.org/officeDocument/2006/relationships/hyperlink" Target="https://jamanetwork.com/journals/jama/fullarticle/207344" TargetMode="External"/><Relationship Id="rId49" Type="http://schemas.openxmlformats.org/officeDocument/2006/relationships/hyperlink" Target="https://swlimo.southwestlondon.icb.nhs.uk/clinical-guidance/nutrition-and-blood/vitamin-deficiency/vitamin-b12/" TargetMode="External"/><Relationship Id="rId57" Type="http://schemas.openxmlformats.org/officeDocument/2006/relationships/hyperlink" Target="https://www.cancerresearchuk.org/health-professional/cancer-statistics/statistics-by-cancer-type/all-cancers-combined" TargetMode="External"/><Relationship Id="rId10" Type="http://schemas.openxmlformats.org/officeDocument/2006/relationships/hyperlink" Target="https://doi.org/10.1136/bmjopen-2011-000653" TargetMode="External"/><Relationship Id="rId31" Type="http://schemas.openxmlformats.org/officeDocument/2006/relationships/hyperlink" Target="https://www.sciencedirect.com/science/article/abs/pii/014067369190133A" TargetMode="External"/><Relationship Id="rId44" Type="http://schemas.openxmlformats.org/officeDocument/2006/relationships/hyperlink" Target="https://doi.org/10.1016/S0140-6736(05)62482-8" TargetMode="External"/><Relationship Id="rId52" Type="http://schemas.openxmlformats.org/officeDocument/2006/relationships/hyperlink" Target="https://doi.org/10.3390/nu17172863" TargetMode="External"/><Relationship Id="rId60" Type="http://schemas.openxmlformats.org/officeDocument/2006/relationships/hyperlink" Target="https://bills.parliament.uk/bills/1782" TargetMode="External"/><Relationship Id="rId65" Type="http://schemas.openxmlformats.org/officeDocument/2006/relationships/hyperlink" Target="https://www.hartgroup.org/what-you-need-to-know-about-folic-acid-part-two-how-100-micrograms-became-400/" TargetMode="External"/><Relationship Id="rId4" Type="http://schemas.openxmlformats.org/officeDocument/2006/relationships/webSettings" Target="webSettings.xml"/><Relationship Id="rId9" Type="http://schemas.openxmlformats.org/officeDocument/2006/relationships/hyperlink" Target="https://assets.publishing.service.gov.uk/media/5d020f3640f0b609ad3158a3/folic-acid-impact-assessment.pdf" TargetMode="External"/><Relationship Id="rId13" Type="http://schemas.openxmlformats.org/officeDocument/2006/relationships/hyperlink" Target="https://petition.parliament.uk/petitions/769589" TargetMode="External"/><Relationship Id="rId18" Type="http://schemas.openxmlformats.org/officeDocument/2006/relationships/hyperlink" Target="https://www.legislation.gov.uk/wsi/2025/88/contents" TargetMode="External"/><Relationship Id="rId39" Type="http://schemas.openxmlformats.org/officeDocument/2006/relationships/hyperlink" Target="https://doi.org/10.1016/S0140-6736(12)620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3346</Words>
  <Characters>18709</Characters>
  <Application>Microsoft Office Word</Application>
  <DocSecurity>0</DocSecurity>
  <Lines>275</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Craig</dc:creator>
  <cp:keywords/>
  <cp:lastModifiedBy>Clare Craig</cp:lastModifiedBy>
  <cp:revision>2</cp:revision>
  <dcterms:created xsi:type="dcterms:W3CDTF">2026-08-28T14:41:00Z</dcterms:created>
  <dcterms:modified xsi:type="dcterms:W3CDTF">2026-08-28T14:41:00Z</dcterms:modified>
</cp:coreProperties>
</file>